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55" w:rsidRPr="00DE43D2" w:rsidRDefault="00224955" w:rsidP="00224955">
      <w:pPr>
        <w:ind w:firstLine="720"/>
        <w:jc w:val="center"/>
        <w:rPr>
          <w:b/>
          <w:lang w:val="en-GB"/>
        </w:rPr>
      </w:pPr>
    </w:p>
    <w:p w:rsidR="00224955" w:rsidRPr="00DE43D2" w:rsidRDefault="00224955" w:rsidP="00224955">
      <w:pPr>
        <w:jc w:val="center"/>
        <w:rPr>
          <w:b/>
          <w:lang w:val="en-GB"/>
        </w:rPr>
      </w:pPr>
      <w:commentRangeStart w:id="0"/>
      <w:r w:rsidRPr="00DE43D2">
        <w:rPr>
          <w:b/>
          <w:lang w:val="en-GB"/>
        </w:rPr>
        <w:t>Ann</w:t>
      </w:r>
      <w:bookmarkStart w:id="1" w:name="_GoBack"/>
      <w:bookmarkEnd w:id="1"/>
      <w:r w:rsidRPr="00DE43D2">
        <w:rPr>
          <w:b/>
          <w:lang w:val="en-GB"/>
        </w:rPr>
        <w:t>ex II</w:t>
      </w:r>
    </w:p>
    <w:p w:rsidR="00224955" w:rsidRPr="00DE43D2" w:rsidRDefault="00224955" w:rsidP="00224955">
      <w:pPr>
        <w:jc w:val="center"/>
        <w:rPr>
          <w:lang w:val="en-GB"/>
        </w:rPr>
      </w:pPr>
      <w:r w:rsidRPr="00DE43D2">
        <w:rPr>
          <w:b/>
          <w:lang w:val="en-GB"/>
        </w:rPr>
        <w:t>SHIPMENT INVOICE</w:t>
      </w:r>
      <w:r w:rsidRPr="00DE43D2">
        <w:rPr>
          <w:lang w:val="en-GB"/>
        </w:rPr>
        <w:t xml:space="preserve"> </w:t>
      </w:r>
      <w:commentRangeEnd w:id="0"/>
      <w:r w:rsidRPr="00DE43D2">
        <w:rPr>
          <w:rStyle w:val="Refdecomentrio"/>
          <w:lang w:val="en-GB"/>
        </w:rPr>
        <w:commentReference w:id="0"/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proofErr w:type="gramStart"/>
      <w:r w:rsidRPr="00DE43D2">
        <w:rPr>
          <w:lang w:val="en-GB"/>
        </w:rPr>
        <w:t xml:space="preserve">Shipment Invoice Nº </w:t>
      </w:r>
      <w:r w:rsidRPr="00DE43D2">
        <w:rPr>
          <w:rFonts w:eastAsia="Times New Roman" w:cs="Times New Roman"/>
          <w:color w:val="0000FF"/>
          <w:szCs w:val="20"/>
          <w:lang w:val="en-GB"/>
        </w:rPr>
        <w:t>[   ]</w:t>
      </w:r>
      <w:r w:rsidRPr="00DE43D2">
        <w:rPr>
          <w:lang w:val="en-GB"/>
        </w:rPr>
        <w:t xml:space="preserve"> of the Material Transfer Agreement (MTA) signed by and between </w:t>
      </w:r>
      <w:r w:rsidRPr="00DE43D2">
        <w:rPr>
          <w:rFonts w:eastAsia="Times New Roman" w:cs="Times New Roman"/>
          <w:color w:val="0000FF"/>
          <w:szCs w:val="20"/>
          <w:lang w:val="en-GB"/>
        </w:rPr>
        <w:t>[SENDER]</w:t>
      </w:r>
      <w:r w:rsidRPr="00DE43D2">
        <w:rPr>
          <w:lang w:val="en-GB"/>
        </w:rPr>
        <w:t xml:space="preserve"> and </w:t>
      </w:r>
      <w:r w:rsidRPr="00DE43D2">
        <w:rPr>
          <w:rFonts w:eastAsia="Times New Roman" w:cs="Times New Roman"/>
          <w:color w:val="0000FF"/>
          <w:szCs w:val="20"/>
          <w:lang w:val="en-GB"/>
        </w:rPr>
        <w:t>[RECIPIENT]</w:t>
      </w:r>
      <w:r w:rsidRPr="00DE43D2">
        <w:rPr>
          <w:lang w:val="en-GB"/>
        </w:rPr>
        <w:t xml:space="preserve"> on </w:t>
      </w:r>
      <w:r w:rsidRPr="00DE43D2">
        <w:rPr>
          <w:rFonts w:eastAsia="Times New Roman" w:cs="Times New Roman"/>
          <w:color w:val="0000FF"/>
          <w:szCs w:val="20"/>
          <w:lang w:val="en-GB"/>
        </w:rPr>
        <w:t>[MTA DATE]</w:t>
      </w:r>
      <w:r w:rsidRPr="00DE43D2">
        <w:rPr>
          <w:lang w:val="en-GB"/>
        </w:rPr>
        <w:t xml:space="preserve">, valid until </w:t>
      </w:r>
      <w:r w:rsidRPr="00DE43D2">
        <w:rPr>
          <w:rFonts w:eastAsia="Times New Roman" w:cs="Times New Roman"/>
          <w:color w:val="0000FF"/>
          <w:szCs w:val="20"/>
          <w:lang w:val="en-GB"/>
        </w:rPr>
        <w:t>[DATE]</w:t>
      </w:r>
      <w:r w:rsidRPr="00DE43D2">
        <w:rPr>
          <w:lang w:val="en-GB"/>
        </w:rPr>
        <w:t>.</w:t>
      </w:r>
      <w:proofErr w:type="gramEnd"/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1. Identifying information on the genetic heritage samples to be shipped, to the most specific taxonomic rank possible:</w:t>
      </w:r>
    </w:p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</w:tbl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 xml:space="preserve">2. Origin of the samples to be shipped, indicating the municipality of the place of </w:t>
      </w:r>
      <w:proofErr w:type="spellStart"/>
      <w:r w:rsidRPr="00DE43D2">
        <w:rPr>
          <w:lang w:val="en-GB"/>
        </w:rPr>
        <w:t>obtention</w:t>
      </w:r>
      <w:proofErr w:type="spellEnd"/>
      <w:r w:rsidRPr="00DE43D2">
        <w:rPr>
          <w:lang w:val="en-GB"/>
        </w:rPr>
        <w:t xml:space="preserve"> </w:t>
      </w:r>
      <w:r w:rsidRPr="00DE43D2">
        <w:rPr>
          <w:b/>
          <w:lang w:val="en-GB"/>
        </w:rPr>
        <w:t>in situ</w:t>
      </w:r>
      <w:r w:rsidRPr="00DE43D2">
        <w:rPr>
          <w:lang w:val="en-GB"/>
        </w:rPr>
        <w:t xml:space="preserve">, even if it has been obtained from </w:t>
      </w:r>
      <w:r w:rsidRPr="00DE43D2">
        <w:rPr>
          <w:b/>
          <w:lang w:val="en-GB"/>
        </w:rPr>
        <w:t>ex situ</w:t>
      </w:r>
      <w:r w:rsidRPr="00DE43D2">
        <w:rPr>
          <w:lang w:val="en-GB"/>
        </w:rPr>
        <w:t xml:space="preserve"> sources:</w:t>
      </w:r>
    </w:p>
    <w:p w:rsidR="00224955" w:rsidRPr="00DE43D2" w:rsidRDefault="00224955" w:rsidP="00224955">
      <w:pPr>
        <w:ind w:firstLine="720"/>
        <w:jc w:val="both"/>
        <w:rPr>
          <w:b/>
          <w:u w:val="single"/>
          <w:lang w:val="en-GB"/>
        </w:rPr>
      </w:pPr>
      <w:r w:rsidRPr="00DE43D2">
        <w:rPr>
          <w:b/>
          <w:u w:val="single"/>
          <w:lang w:val="en-GB"/>
        </w:rPr>
        <w:t>[OR]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 xml:space="preserve">2. Identifying information on the </w:t>
      </w:r>
      <w:r w:rsidRPr="00DE43D2">
        <w:rPr>
          <w:b/>
          <w:lang w:val="en-GB"/>
        </w:rPr>
        <w:t>ex situ</w:t>
      </w:r>
      <w:r w:rsidRPr="00DE43D2">
        <w:rPr>
          <w:lang w:val="en-GB"/>
        </w:rPr>
        <w:t xml:space="preserve"> source of the genetic heritage samples to be sent, with the information contained in the deposit record, if it comes from an </w:t>
      </w:r>
      <w:r w:rsidRPr="00DE43D2">
        <w:rPr>
          <w:b/>
          <w:lang w:val="en-GB"/>
        </w:rPr>
        <w:t>ex situ</w:t>
      </w:r>
      <w:r w:rsidRPr="00DE43D2">
        <w:rPr>
          <w:lang w:val="en-GB"/>
        </w:rPr>
        <w:t xml:space="preserve"> collection as determined in §1 of the article 22 of the Decree nº 8.772, of 2016:</w:t>
      </w:r>
    </w:p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</w:tbl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 xml:space="preserve">3. </w:t>
      </w:r>
      <w:proofErr w:type="gramStart"/>
      <w:r w:rsidRPr="00DE43D2">
        <w:rPr>
          <w:lang w:val="en-GB"/>
        </w:rPr>
        <w:t>Is</w:t>
      </w:r>
      <w:proofErr w:type="gramEnd"/>
      <w:r w:rsidRPr="00DE43D2">
        <w:rPr>
          <w:lang w:val="en-GB"/>
        </w:rPr>
        <w:t xml:space="preserve"> the sample a local traditional variety or landrace, or a locally adapted breed or creole breed?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 xml:space="preserve">(  ) Yes       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(  ) No</w:t>
      </w:r>
    </w:p>
    <w:p w:rsidR="00224955" w:rsidRPr="00DE43D2" w:rsidRDefault="00224955" w:rsidP="00224955">
      <w:pPr>
        <w:jc w:val="both"/>
        <w:rPr>
          <w:lang w:val="en-GB"/>
        </w:rPr>
      </w:pP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4. Is it a species on the official list of endangered species?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 xml:space="preserve">(  ) Yes         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(  ) No</w:t>
      </w:r>
    </w:p>
    <w:p w:rsidR="005D6A1C" w:rsidRPr="00DE43D2" w:rsidRDefault="00224955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Name of the Official List consulted</w:t>
      </w:r>
      <w:r w:rsidR="005D6A1C" w:rsidRPr="00DE43D2">
        <w:rPr>
          <w:rFonts w:eastAsia="Times New Roman" w:cstheme="minorHAnsi"/>
          <w:color w:val="000000"/>
          <w:lang w:val="en-GB" w:eastAsia="pt-BR"/>
        </w:rPr>
        <w:t xml:space="preserve">: </w:t>
      </w:r>
      <w:commentRangeStart w:id="2"/>
      <w:r w:rsidR="005D6A1C" w:rsidRPr="00DE43D2">
        <w:rPr>
          <w:rFonts w:eastAsia="Times New Roman" w:cstheme="minorHAnsi"/>
          <w:color w:val="000000"/>
          <w:lang w:val="en-GB" w:eastAsia="pt-BR"/>
        </w:rPr>
        <w:t>__________________________________</w:t>
      </w:r>
      <w:commentRangeEnd w:id="2"/>
      <w:r w:rsidR="005D6A1C" w:rsidRPr="00DE43D2">
        <w:rPr>
          <w:rStyle w:val="Refdecomentrio"/>
          <w:lang w:val="en-GB"/>
        </w:rPr>
        <w:commentReference w:id="2"/>
      </w:r>
    </w:p>
    <w:p w:rsidR="005D6A1C" w:rsidRPr="00DE43D2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lastRenderedPageBreak/>
        <w:t> 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5. Information on the kind of sample and method of stowage: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</w:tbl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6. Number of containers, volume or weight:</w:t>
      </w:r>
    </w:p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</w:tbl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224955" w:rsidRPr="00DE43D2" w:rsidRDefault="00224955" w:rsidP="00224955">
      <w:pPr>
        <w:ind w:firstLine="720"/>
        <w:jc w:val="both"/>
        <w:rPr>
          <w:lang w:val="en-GB"/>
        </w:rPr>
      </w:pPr>
      <w:r w:rsidRPr="00DE43D2">
        <w:rPr>
          <w:lang w:val="en-GB"/>
        </w:rPr>
        <w:t>7.  The RECIPIENT declares that he/she will use the genetic heritage samples for:</w:t>
      </w:r>
    </w:p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4234"/>
      </w:tblGrid>
      <w:tr w:rsidR="005D6A1C" w:rsidRPr="00DE43D2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224955" w:rsidP="009D1C61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PURPOSE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224955" w:rsidP="009D1C61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INTENDED USE AND APPLICATION DOMAIN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224955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(   ) Research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224955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Intended uses:</w:t>
            </w:r>
            <w:r w:rsidR="005D6A1C"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  <w:p w:rsidR="005D6A1C" w:rsidRPr="00DE43D2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224955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Project application domain / research activity:</w:t>
            </w:r>
            <w:r w:rsidR="005D6A1C"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  <w:p w:rsidR="005D6A1C" w:rsidRPr="00DE43D2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DE43D2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(    ) Technological development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3D2" w:rsidRPr="00DE43D2" w:rsidRDefault="00DE43D2" w:rsidP="00DE43D2">
            <w:pPr>
              <w:spacing w:after="0" w:line="240" w:lineRule="auto"/>
              <w:rPr>
                <w:lang w:val="en-GB"/>
              </w:rPr>
            </w:pPr>
            <w:r w:rsidRPr="00DE43D2">
              <w:rPr>
                <w:lang w:val="en-GB"/>
              </w:rPr>
              <w:t xml:space="preserve">Intended uses: </w:t>
            </w:r>
          </w:p>
          <w:p w:rsidR="005D6A1C" w:rsidRPr="00DE43D2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  <w:p w:rsidR="005D6A1C" w:rsidRPr="00DE43D2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t-BR"/>
              </w:rPr>
            </w:pP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DE43D2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lang w:val="en-GB"/>
              </w:rPr>
              <w:t>Project application domain/ technological development activity</w:t>
            </w:r>
            <w:r w:rsidR="005D6A1C"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  <w:p w:rsidR="005D6A1C" w:rsidRPr="00DE43D2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> </w:t>
            </w:r>
          </w:p>
        </w:tc>
      </w:tr>
      <w:tr w:rsidR="005D6A1C" w:rsidRPr="00DE43D2" w:rsidTr="009D1C61">
        <w:trPr>
          <w:tblCellSpacing w:w="7" w:type="dxa"/>
        </w:trPr>
        <w:tc>
          <w:tcPr>
            <w:tcW w:w="7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DE43D2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val="en-GB" w:eastAsia="pt-BR"/>
              </w:rPr>
            </w:pPr>
            <w:r w:rsidRPr="00DE43D2">
              <w:rPr>
                <w:rFonts w:eastAsia="Times New Roman" w:cstheme="minorHAnsi"/>
                <w:color w:val="000000"/>
                <w:lang w:val="en-GB" w:eastAsia="pt-BR"/>
              </w:rPr>
              <w:t xml:space="preserve">(     ) </w:t>
            </w:r>
            <w:r w:rsidR="00DE43D2" w:rsidRPr="00DE43D2">
              <w:rPr>
                <w:lang w:val="en-GB"/>
              </w:rPr>
              <w:t xml:space="preserve">Deposit in </w:t>
            </w:r>
            <w:r w:rsidR="00DE43D2" w:rsidRPr="00DE43D2">
              <w:rPr>
                <w:b/>
                <w:lang w:val="en-GB"/>
              </w:rPr>
              <w:t>ex situ</w:t>
            </w:r>
            <w:r w:rsidR="00DE43D2" w:rsidRPr="00DE43D2">
              <w:rPr>
                <w:i/>
                <w:lang w:val="en-GB"/>
              </w:rPr>
              <w:t xml:space="preserve"> </w:t>
            </w:r>
            <w:r w:rsidR="00DE43D2" w:rsidRPr="00DE43D2">
              <w:rPr>
                <w:lang w:val="en-GB"/>
              </w:rPr>
              <w:t>collection.</w:t>
            </w:r>
          </w:p>
        </w:tc>
      </w:tr>
    </w:tbl>
    <w:p w:rsidR="005D6A1C" w:rsidRPr="00DE43D2" w:rsidRDefault="005D6A1C" w:rsidP="005D6A1C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DE43D2" w:rsidRDefault="00DE43D2" w:rsidP="00DE43D2">
      <w:pPr>
        <w:ind w:firstLine="720"/>
        <w:jc w:val="both"/>
      </w:pPr>
      <w:commentRangeStart w:id="3"/>
      <w:r>
        <w:t xml:space="preserve">7.1 The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(s)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intended</w:t>
      </w:r>
      <w:proofErr w:type="spellEnd"/>
      <w:r>
        <w:t xml:space="preserve"> use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sector </w:t>
      </w:r>
      <w:proofErr w:type="spellStart"/>
      <w:r>
        <w:t>indicated</w:t>
      </w:r>
      <w:proofErr w:type="spellEnd"/>
      <w:r>
        <w:t xml:space="preserve"> in item </w:t>
      </w:r>
      <w:proofErr w:type="gramStart"/>
      <w:r>
        <w:t>7</w:t>
      </w:r>
      <w:proofErr w:type="gramEnd"/>
      <w:r>
        <w:t xml:space="preserve">. </w:t>
      </w:r>
    </w:p>
    <w:p w:rsidR="00DE43D2" w:rsidRPr="00DE43D2" w:rsidRDefault="00DE43D2" w:rsidP="00DE43D2">
      <w:pPr>
        <w:ind w:firstLine="720"/>
        <w:jc w:val="both"/>
        <w:rPr>
          <w:b/>
          <w:u w:val="single"/>
        </w:rPr>
      </w:pPr>
      <w:r w:rsidRPr="00DE43D2">
        <w:rPr>
          <w:b/>
          <w:u w:val="single"/>
        </w:rPr>
        <w:t>[OR]</w:t>
      </w:r>
    </w:p>
    <w:p w:rsidR="00DE43D2" w:rsidRDefault="00DE43D2" w:rsidP="00DE43D2">
      <w:pPr>
        <w:ind w:firstLine="720"/>
        <w:jc w:val="both"/>
      </w:pPr>
      <w:r>
        <w:t xml:space="preserve">7.1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intended</w:t>
      </w:r>
      <w:proofErr w:type="spellEnd"/>
      <w:r>
        <w:t xml:space="preserve"> use </w:t>
      </w:r>
      <w:proofErr w:type="spellStart"/>
      <w:r>
        <w:t>and</w:t>
      </w:r>
      <w:proofErr w:type="spellEnd"/>
      <w:r>
        <w:t xml:space="preserve"> sector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item </w:t>
      </w:r>
      <w:proofErr w:type="gramStart"/>
      <w:r>
        <w:t>7</w:t>
      </w:r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SENDER,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lastRenderedPageBreak/>
        <w:t>provide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15 (</w:t>
      </w:r>
      <w:proofErr w:type="spellStart"/>
      <w:r>
        <w:t>fifteen</w:t>
      </w:r>
      <w:proofErr w:type="spellEnd"/>
      <w:r>
        <w:t xml:space="preserve">)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for </w:t>
      </w:r>
      <w:proofErr w:type="spellStart"/>
      <w:r>
        <w:t>rectification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>.</w:t>
      </w:r>
      <w:commentRangeEnd w:id="3"/>
      <w:r>
        <w:rPr>
          <w:rStyle w:val="Refdecomentrio"/>
        </w:rPr>
        <w:commentReference w:id="3"/>
      </w:r>
    </w:p>
    <w:p w:rsidR="005D6A1C" w:rsidRPr="00DE43D2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DE43D2" w:rsidRDefault="00DE43D2" w:rsidP="00DE43D2">
      <w:pPr>
        <w:ind w:firstLine="720"/>
        <w:jc w:val="both"/>
      </w:pPr>
      <w:commentRangeStart w:id="4"/>
      <w:r>
        <w:t xml:space="preserve">8.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</w:p>
    <w:p w:rsidR="00DE43D2" w:rsidRPr="005B4981" w:rsidRDefault="00DE43D2" w:rsidP="00DE43D2">
      <w:pPr>
        <w:ind w:firstLine="720"/>
        <w:jc w:val="both"/>
        <w:rPr>
          <w:b/>
          <w:u w:val="single"/>
        </w:rPr>
      </w:pPr>
      <w:r w:rsidRPr="005B4981">
        <w:rPr>
          <w:b/>
          <w:u w:val="single"/>
        </w:rPr>
        <w:t>[OR]</w:t>
      </w:r>
    </w:p>
    <w:p w:rsidR="00DE43D2" w:rsidRDefault="00DE43D2" w:rsidP="00DE43D2">
      <w:pPr>
        <w:ind w:firstLine="720"/>
        <w:jc w:val="both"/>
      </w:pPr>
      <w:r>
        <w:t xml:space="preserve">8.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MTA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. </w:t>
      </w:r>
    </w:p>
    <w:p w:rsidR="00DE43D2" w:rsidRPr="005B4981" w:rsidRDefault="00DE43D2" w:rsidP="00DE43D2">
      <w:pPr>
        <w:ind w:firstLine="720"/>
        <w:jc w:val="both"/>
        <w:rPr>
          <w:b/>
          <w:u w:val="single"/>
        </w:rPr>
      </w:pPr>
      <w:r w:rsidRPr="005B4981">
        <w:rPr>
          <w:b/>
          <w:u w:val="single"/>
        </w:rPr>
        <w:t>[OR]</w:t>
      </w:r>
    </w:p>
    <w:p w:rsidR="00DE43D2" w:rsidRDefault="00DE43D2" w:rsidP="00DE43D2">
      <w:pPr>
        <w:ind w:firstLine="720"/>
        <w:jc w:val="both"/>
      </w:pPr>
      <w:r>
        <w:t xml:space="preserve">8. The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indefinitely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MTA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proofErr w:type="gramStart"/>
      <w:r>
        <w:t>attached</w:t>
      </w:r>
      <w:proofErr w:type="spellEnd"/>
      <w:r>
        <w:t>.</w:t>
      </w:r>
      <w:commentRangeEnd w:id="4"/>
      <w:proofErr w:type="gramEnd"/>
      <w:r>
        <w:rPr>
          <w:rStyle w:val="Refdecomentrio"/>
        </w:rPr>
        <w:commentReference w:id="4"/>
      </w:r>
    </w:p>
    <w:p w:rsidR="005D6A1C" w:rsidRPr="00DE43D2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val="en-GB" w:eastAsia="pt-BR"/>
        </w:rPr>
      </w:pPr>
      <w:r w:rsidRPr="00DE43D2">
        <w:rPr>
          <w:rFonts w:eastAsia="Times New Roman" w:cstheme="minorHAnsi"/>
          <w:color w:val="000000"/>
          <w:lang w:val="en-GB" w:eastAsia="pt-BR"/>
        </w:rPr>
        <w:t> </w:t>
      </w:r>
    </w:p>
    <w:p w:rsidR="00DE43D2" w:rsidRPr="00DE43D2" w:rsidRDefault="00DE43D2" w:rsidP="00DE43D2">
      <w:pPr>
        <w:ind w:firstLine="720"/>
        <w:jc w:val="both"/>
        <w:rPr>
          <w:b/>
        </w:rPr>
      </w:pPr>
      <w:commentRangeStart w:id="5"/>
      <w:r w:rsidRPr="00DE43D2">
        <w:rPr>
          <w:b/>
        </w:rPr>
        <w:t>(</w:t>
      </w:r>
      <w:proofErr w:type="spellStart"/>
      <w:r w:rsidRPr="00DE43D2">
        <w:rPr>
          <w:b/>
        </w:rPr>
        <w:t>Items</w:t>
      </w:r>
      <w:proofErr w:type="spellEnd"/>
      <w:r w:rsidRPr="00DE43D2">
        <w:rPr>
          <w:b/>
        </w:rPr>
        <w:t xml:space="preserve"> 8.1. </w:t>
      </w:r>
      <w:proofErr w:type="spellStart"/>
      <w:r w:rsidRPr="00DE43D2">
        <w:rPr>
          <w:b/>
        </w:rPr>
        <w:t>and</w:t>
      </w:r>
      <w:proofErr w:type="spellEnd"/>
      <w:r w:rsidRPr="00DE43D2">
        <w:rPr>
          <w:b/>
        </w:rPr>
        <w:t xml:space="preserve"> 8.2. </w:t>
      </w:r>
      <w:proofErr w:type="spellStart"/>
      <w:r w:rsidRPr="00DE43D2">
        <w:rPr>
          <w:b/>
        </w:rPr>
        <w:t>shall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always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be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used</w:t>
      </w:r>
      <w:proofErr w:type="spellEnd"/>
      <w:r w:rsidRPr="00DE43D2">
        <w:rPr>
          <w:b/>
        </w:rPr>
        <w:t xml:space="preserve"> in cases </w:t>
      </w:r>
      <w:proofErr w:type="spellStart"/>
      <w:r w:rsidRPr="00DE43D2">
        <w:rPr>
          <w:b/>
        </w:rPr>
        <w:t>where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transfer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of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genetic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heritage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samples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is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authorized</w:t>
      </w:r>
      <w:proofErr w:type="spellEnd"/>
      <w:r w:rsidRPr="00DE43D2">
        <w:rPr>
          <w:b/>
        </w:rPr>
        <w:t xml:space="preserve">, </w:t>
      </w:r>
      <w:proofErr w:type="spellStart"/>
      <w:r w:rsidRPr="00DE43D2">
        <w:rPr>
          <w:b/>
        </w:rPr>
        <w:t>regardless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of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option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on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clause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that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allows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transfers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to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occur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only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during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term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of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MTA </w:t>
      </w:r>
      <w:proofErr w:type="spellStart"/>
      <w:r w:rsidRPr="00DE43D2">
        <w:rPr>
          <w:b/>
        </w:rPr>
        <w:t>or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allows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transfers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to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take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place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even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after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expiration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of</w:t>
      </w:r>
      <w:proofErr w:type="spellEnd"/>
      <w:r w:rsidRPr="00DE43D2">
        <w:rPr>
          <w:b/>
        </w:rPr>
        <w:t xml:space="preserve"> </w:t>
      </w:r>
      <w:proofErr w:type="spellStart"/>
      <w:r w:rsidRPr="00DE43D2">
        <w:rPr>
          <w:b/>
        </w:rPr>
        <w:t>the</w:t>
      </w:r>
      <w:proofErr w:type="spellEnd"/>
      <w:r w:rsidRPr="00DE43D2">
        <w:rPr>
          <w:b/>
        </w:rPr>
        <w:t xml:space="preserve"> MTA</w:t>
      </w:r>
      <w:proofErr w:type="gramStart"/>
      <w:r w:rsidRPr="00DE43D2">
        <w:rPr>
          <w:b/>
        </w:rPr>
        <w:t>)</w:t>
      </w:r>
      <w:proofErr w:type="gramEnd"/>
    </w:p>
    <w:p w:rsidR="00DE43D2" w:rsidRDefault="00DE43D2" w:rsidP="00DE43D2">
      <w:pPr>
        <w:ind w:firstLine="720"/>
        <w:jc w:val="both"/>
      </w:pPr>
      <w:r>
        <w:t xml:space="preserve">8.1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recipient</w:t>
      </w:r>
      <w:proofErr w:type="spellEnd"/>
      <w:r>
        <w:t xml:space="preserve"> a new MTA </w:t>
      </w:r>
      <w:proofErr w:type="spellStart"/>
      <w:r>
        <w:t>containing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whereas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., 3., 5. </w:t>
      </w:r>
      <w:proofErr w:type="spellStart"/>
      <w:proofErr w:type="gramStart"/>
      <w:r>
        <w:t>and</w:t>
      </w:r>
      <w:proofErr w:type="spellEnd"/>
      <w:proofErr w:type="gramEnd"/>
      <w:r>
        <w:t xml:space="preserve"> 7. </w:t>
      </w:r>
      <w:proofErr w:type="spellStart"/>
      <w:proofErr w:type="gramStart"/>
      <w:r>
        <w:t>of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MTA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CGen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CGen-approved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model</w:t>
      </w:r>
      <w:proofErr w:type="spellEnd"/>
      <w:r>
        <w:t>.</w:t>
      </w:r>
    </w:p>
    <w:p w:rsidR="00DE43D2" w:rsidRDefault="00DE43D2" w:rsidP="00DE43D2">
      <w:pPr>
        <w:ind w:firstLine="720"/>
        <w:jc w:val="both"/>
      </w:pPr>
      <w:r>
        <w:t xml:space="preserve">8.2 The RECIPIENT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CGen</w:t>
      </w:r>
      <w:proofErr w:type="spellEnd"/>
      <w:proofErr w:type="gramEnd"/>
      <w:r>
        <w:t xml:space="preserve"> (cgen@mma.gov.br), </w:t>
      </w:r>
      <w:proofErr w:type="spellStart"/>
      <w:r>
        <w:t>annually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fiscal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MTAs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recipients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(s)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>.</w:t>
      </w:r>
    </w:p>
    <w:p w:rsidR="00DE43D2" w:rsidRDefault="00DE43D2" w:rsidP="00DE43D2">
      <w:pPr>
        <w:ind w:firstLine="720"/>
        <w:jc w:val="both"/>
      </w:pPr>
      <w:r>
        <w:t xml:space="preserve">8.3 The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8.1 </w:t>
      </w:r>
      <w:proofErr w:type="spellStart"/>
      <w:r>
        <w:t>and</w:t>
      </w:r>
      <w:proofErr w:type="spellEnd"/>
      <w:r>
        <w:t xml:space="preserve"> 8.2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proofErr w:type="gramStart"/>
      <w:r>
        <w:t>transfers</w:t>
      </w:r>
      <w:proofErr w:type="spellEnd"/>
      <w:r>
        <w:t>.</w:t>
      </w:r>
      <w:commentRangeEnd w:id="5"/>
      <w:proofErr w:type="gramEnd"/>
      <w:r>
        <w:rPr>
          <w:rStyle w:val="Refdecomentrio"/>
        </w:rPr>
        <w:commentReference w:id="5"/>
      </w:r>
    </w:p>
    <w:p w:rsidR="005D6A1C" w:rsidRPr="00DE43D2" w:rsidRDefault="005D6A1C" w:rsidP="005D6A1C">
      <w:pPr>
        <w:rPr>
          <w:rFonts w:cstheme="minorHAnsi"/>
          <w:lang w:val="en-GB"/>
        </w:rPr>
      </w:pPr>
    </w:p>
    <w:p w:rsidR="006D3E16" w:rsidRPr="00DE43D2" w:rsidRDefault="006D3E16">
      <w:pPr>
        <w:rPr>
          <w:lang w:val="en-GB"/>
        </w:rPr>
      </w:pPr>
    </w:p>
    <w:sectPr w:rsidR="006D3E16" w:rsidRPr="00DE43D2" w:rsidSect="00BF65F1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IE - Caio" w:date="2025-10-20T10:12:00Z" w:initials="C-C">
    <w:p w:rsidR="00224955" w:rsidRPr="00DE43D2" w:rsidRDefault="00224955" w:rsidP="00224955">
      <w:pPr>
        <w:pStyle w:val="Textodecomentrio"/>
        <w:rPr>
          <w:lang w:val="en-GB"/>
        </w:rPr>
      </w:pPr>
      <w:r>
        <w:rPr>
          <w:rStyle w:val="Refdecomentrio"/>
        </w:rPr>
        <w:annotationRef/>
      </w:r>
      <w:r w:rsidRPr="00DE43D2">
        <w:rPr>
          <w:lang w:val="en-GB"/>
        </w:rPr>
        <w:t>The shipment invoice does not need to be signed, it is enough that it contains the MTA information.</w:t>
      </w:r>
    </w:p>
  </w:comment>
  <w:comment w:id="2" w:author="CAIE - Caio" w:date="2025-10-20T10:12:00Z" w:initials="CRPS">
    <w:p w:rsidR="00224955" w:rsidRPr="00DE43D2" w:rsidRDefault="005D6A1C">
      <w:pPr>
        <w:pStyle w:val="Textodecomentrio"/>
        <w:rPr>
          <w:lang w:val="en-GB"/>
        </w:rPr>
      </w:pPr>
      <w:r>
        <w:rPr>
          <w:rStyle w:val="Refdecomentrio"/>
        </w:rPr>
        <w:annotationRef/>
      </w:r>
      <w:r w:rsidR="00224955" w:rsidRPr="00DE43D2">
        <w:rPr>
          <w:lang w:val="en-GB"/>
        </w:rPr>
        <w:t xml:space="preserve">It is important to fill this field with some information, even if the species sent </w:t>
      </w:r>
      <w:proofErr w:type="gramStart"/>
      <w:r w:rsidR="00224955" w:rsidRPr="00DE43D2">
        <w:rPr>
          <w:lang w:val="en-GB"/>
        </w:rPr>
        <w:t>s(</w:t>
      </w:r>
      <w:proofErr w:type="gramEnd"/>
      <w:r w:rsidR="00224955" w:rsidRPr="00DE43D2">
        <w:rPr>
          <w:lang w:val="en-GB"/>
        </w:rPr>
        <w:t>are) not considered endangered.</w:t>
      </w:r>
    </w:p>
    <w:p w:rsidR="00224955" w:rsidRPr="00DE43D2" w:rsidRDefault="00224955">
      <w:pPr>
        <w:pStyle w:val="Textodecomentrio"/>
        <w:rPr>
          <w:lang w:val="en-GB"/>
        </w:rPr>
      </w:pPr>
    </w:p>
    <w:p w:rsidR="005D6A1C" w:rsidRPr="00DE43D2" w:rsidRDefault="00224955">
      <w:pPr>
        <w:pStyle w:val="Textodecomentrio"/>
        <w:rPr>
          <w:lang w:val="en-GB"/>
        </w:rPr>
      </w:pPr>
      <w:r w:rsidRPr="00DE43D2">
        <w:rPr>
          <w:lang w:val="en-GB"/>
        </w:rPr>
        <w:t xml:space="preserve">We suggest consulting the </w:t>
      </w:r>
      <w:hyperlink r:id="rId1" w:history="1">
        <w:r w:rsidRPr="00DE43D2">
          <w:rPr>
            <w:rStyle w:val="Hyperlink"/>
            <w:lang w:val="en-GB"/>
          </w:rPr>
          <w:t>CITES</w:t>
        </w:r>
      </w:hyperlink>
      <w:r w:rsidRPr="00DE43D2">
        <w:rPr>
          <w:rStyle w:val="Hyperlink"/>
          <w:lang w:val="en-GB"/>
        </w:rPr>
        <w:t xml:space="preserve"> </w:t>
      </w:r>
      <w:r w:rsidRPr="00DE43D2">
        <w:rPr>
          <w:lang w:val="en-GB"/>
        </w:rPr>
        <w:t>appendixes.</w:t>
      </w:r>
    </w:p>
    <w:p w:rsidR="00224955" w:rsidRPr="00DE43D2" w:rsidRDefault="00224955">
      <w:pPr>
        <w:pStyle w:val="Textodecomentrio"/>
        <w:rPr>
          <w:lang w:val="en-GB"/>
        </w:rPr>
      </w:pPr>
    </w:p>
    <w:p w:rsidR="004B792A" w:rsidRDefault="00224955">
      <w:pPr>
        <w:pStyle w:val="Textodecomentrio"/>
      </w:pPr>
      <w:r w:rsidRPr="00DE43D2">
        <w:rPr>
          <w:lang w:val="en-GB"/>
        </w:rPr>
        <w:t xml:space="preserve">If no applicable lists exist for the species in question, explain that in this field, </w:t>
      </w:r>
      <w:r w:rsidRPr="00DE43D2">
        <w:rPr>
          <w:b/>
          <w:lang w:val="en-GB"/>
        </w:rPr>
        <w:t>do not leave it empty.</w:t>
      </w:r>
    </w:p>
  </w:comment>
  <w:comment w:id="3" w:author="CAIE - Caio" w:date="2025-10-20T10:15:00Z" w:initials="CRPS">
    <w:p w:rsidR="00DE43D2" w:rsidRDefault="00DE43D2" w:rsidP="00DE43D2">
      <w:pPr>
        <w:pStyle w:val="Textodecomentrio"/>
      </w:pPr>
      <w:r>
        <w:rPr>
          <w:rStyle w:val="Refdecomentrio"/>
        </w:rPr>
        <w:annotationRef/>
      </w:r>
      <w:proofErr w:type="spellStart"/>
      <w:r>
        <w:t>Here</w:t>
      </w:r>
      <w:proofErr w:type="spellEnd"/>
      <w:r>
        <w:t xml:space="preserve">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>.</w:t>
      </w:r>
    </w:p>
    <w:p w:rsidR="00DE43D2" w:rsidRDefault="00DE43D2" w:rsidP="00DE43D2">
      <w:pPr>
        <w:pStyle w:val="Textodecomentrio"/>
      </w:pPr>
    </w:p>
    <w:p w:rsidR="00DE43D2" w:rsidRDefault="00DE43D2" w:rsidP="00DE43D2">
      <w:pPr>
        <w:pStyle w:val="Textodecomentrio"/>
      </w:pPr>
      <w:proofErr w:type="spellStart"/>
      <w:r>
        <w:t>Once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, </w:t>
      </w:r>
      <w:proofErr w:type="gramStart"/>
      <w:r>
        <w:t>delete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“7.1.” </w:t>
      </w:r>
      <w:proofErr w:type="spellStart"/>
      <w:r>
        <w:t>paragraph</w:t>
      </w:r>
      <w:proofErr w:type="spellEnd"/>
      <w:r>
        <w:t>.</w:t>
      </w:r>
    </w:p>
  </w:comment>
  <w:comment w:id="4" w:author="CAIE - Caio" w:date="2025-10-20T10:17:00Z" w:initials="CRPS">
    <w:p w:rsidR="00DE43D2" w:rsidRDefault="00DE43D2" w:rsidP="00DE43D2">
      <w:pPr>
        <w:pStyle w:val="Textodecomentrio"/>
      </w:pPr>
      <w:r>
        <w:rPr>
          <w:rStyle w:val="Refdecomentrio"/>
        </w:rPr>
        <w:annotationRef/>
      </w:r>
      <w:proofErr w:type="spellStart"/>
      <w:r>
        <w:t>Here</w:t>
      </w:r>
      <w:proofErr w:type="spellEnd"/>
      <w:r>
        <w:t xml:space="preserve">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>.</w:t>
      </w:r>
    </w:p>
    <w:p w:rsidR="00DE43D2" w:rsidRDefault="00DE43D2" w:rsidP="00DE43D2">
      <w:pPr>
        <w:pStyle w:val="Textodecomentrio"/>
      </w:pPr>
    </w:p>
    <w:p w:rsidR="00DE43D2" w:rsidRDefault="00DE43D2" w:rsidP="00DE43D2">
      <w:pPr>
        <w:pStyle w:val="Textodecomentrio"/>
      </w:pPr>
      <w:proofErr w:type="spellStart"/>
      <w:r>
        <w:t>Once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, </w:t>
      </w:r>
      <w:proofErr w:type="gramStart"/>
      <w:r>
        <w:t>delete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“8.” </w:t>
      </w:r>
      <w:proofErr w:type="spellStart"/>
      <w:r>
        <w:t>paragraphs</w:t>
      </w:r>
      <w:proofErr w:type="spellEnd"/>
      <w:r>
        <w:t>.</w:t>
      </w:r>
    </w:p>
  </w:comment>
  <w:comment w:id="5" w:author="CAIE - Caio" w:date="2025-10-20T10:18:00Z" w:initials="CRPS">
    <w:p w:rsidR="00DE43D2" w:rsidRDefault="00DE43D2" w:rsidP="00DE43D2">
      <w:pPr>
        <w:pStyle w:val="Textodecomentrio"/>
      </w:pPr>
      <w:r>
        <w:rPr>
          <w:rStyle w:val="Refdecomentrio"/>
        </w:rPr>
        <w:annotationRef/>
      </w:r>
      <w:proofErr w:type="spellStart"/>
      <w:r>
        <w:t>Keep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 8.1 </w:t>
      </w:r>
      <w:proofErr w:type="spellStart"/>
      <w:r>
        <w:t>to</w:t>
      </w:r>
      <w:proofErr w:type="spellEnd"/>
      <w:r>
        <w:t xml:space="preserve"> 8.3 </w:t>
      </w:r>
      <w:proofErr w:type="spellStart"/>
      <w:r>
        <w:t>only</w:t>
      </w:r>
      <w:proofErr w:type="spellEnd"/>
      <w:r>
        <w:t xml:space="preserve">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in </w:t>
      </w:r>
      <w:proofErr w:type="spellStart"/>
      <w:r>
        <w:t>question</w:t>
      </w:r>
      <w:proofErr w:type="spellEnd"/>
      <w:r>
        <w:t>.</w:t>
      </w:r>
    </w:p>
    <w:p w:rsidR="00DE43D2" w:rsidRDefault="00DE43D2" w:rsidP="00DE43D2">
      <w:pPr>
        <w:pStyle w:val="Textodecomentrio"/>
      </w:pPr>
    </w:p>
    <w:p w:rsidR="00DE43D2" w:rsidRDefault="00DE43D2" w:rsidP="00DE43D2">
      <w:pPr>
        <w:pStyle w:val="Textodecomentrio"/>
      </w:pP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delete </w:t>
      </w:r>
      <w:proofErr w:type="spellStart"/>
      <w:r>
        <w:t>them</w:t>
      </w:r>
      <w:proofErr w:type="spellEnd"/>
      <w:r>
        <w:t>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21" w:rsidRDefault="00515021" w:rsidP="005D6A1C">
      <w:pPr>
        <w:spacing w:after="0" w:line="240" w:lineRule="auto"/>
      </w:pPr>
      <w:r>
        <w:separator/>
      </w:r>
    </w:p>
  </w:endnote>
  <w:endnote w:type="continuationSeparator" w:id="0">
    <w:p w:rsidR="00515021" w:rsidRDefault="00515021" w:rsidP="005D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21" w:rsidRDefault="00515021" w:rsidP="005D6A1C">
      <w:pPr>
        <w:spacing w:after="0" w:line="240" w:lineRule="auto"/>
      </w:pPr>
      <w:r>
        <w:separator/>
      </w:r>
    </w:p>
  </w:footnote>
  <w:footnote w:type="continuationSeparator" w:id="0">
    <w:p w:rsidR="00515021" w:rsidRDefault="00515021" w:rsidP="005D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1" w:rsidRPr="00BF65F1" w:rsidRDefault="00515021" w:rsidP="00BF65F1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1" w:rsidRDefault="003C1FE1" w:rsidP="00BF65F1">
    <w:pPr>
      <w:tabs>
        <w:tab w:val="center" w:pos="4419"/>
        <w:tab w:val="right" w:pos="8838"/>
      </w:tabs>
      <w:rPr>
        <w:rFonts w:ascii="Verdana" w:hAnsi="Verdana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1E525AC" wp14:editId="4EE2EE68">
          <wp:simplePos x="0" y="0"/>
          <wp:positionH relativeFrom="margin">
            <wp:posOffset>2328545</wp:posOffset>
          </wp:positionH>
          <wp:positionV relativeFrom="paragraph">
            <wp:posOffset>-208915</wp:posOffset>
          </wp:positionV>
          <wp:extent cx="682625" cy="728980"/>
          <wp:effectExtent l="0" t="0" r="317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5F1" w:rsidRDefault="00515021" w:rsidP="00BF65F1">
    <w:pPr>
      <w:pStyle w:val="Cabealho"/>
      <w:jc w:val="center"/>
      <w:rPr>
        <w:rFonts w:ascii="Verdana" w:hAnsi="Verdana"/>
      </w:rPr>
    </w:pPr>
  </w:p>
  <w:p w:rsidR="00BF65F1" w:rsidRDefault="00515021" w:rsidP="00BF65F1">
    <w:pPr>
      <w:pStyle w:val="Cabealho"/>
      <w:jc w:val="center"/>
      <w:rPr>
        <w:rFonts w:ascii="Verdana" w:hAnsi="Verdana"/>
      </w:rPr>
    </w:pPr>
  </w:p>
  <w:p w:rsidR="00BF65F1" w:rsidRPr="00F842CA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MINISTÉRIO DA EDUCAÇÃO</w:t>
    </w:r>
  </w:p>
  <w:p w:rsidR="00BF65F1" w:rsidRPr="00F842CA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UNIVERSIDADE FEDERAL DE SANTA CATARINA</w:t>
    </w:r>
  </w:p>
  <w:p w:rsidR="00BF65F1" w:rsidRPr="00F842CA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PRÓ-REITORIA DE PESQUISA E INOVAÇÃO</w:t>
    </w:r>
  </w:p>
  <w:p w:rsidR="00BF65F1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DEPARTAMENTO DE INOVAÇÃO</w:t>
    </w:r>
  </w:p>
  <w:p w:rsidR="00BF65F1" w:rsidRDefault="005150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C"/>
    <w:rsid w:val="00224955"/>
    <w:rsid w:val="003C1FE1"/>
    <w:rsid w:val="004B792A"/>
    <w:rsid w:val="00515021"/>
    <w:rsid w:val="005D6A1C"/>
    <w:rsid w:val="006D3E16"/>
    <w:rsid w:val="00DE43D2"/>
    <w:rsid w:val="00E8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1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6A1C"/>
  </w:style>
  <w:style w:type="character" w:styleId="Refdecomentrio">
    <w:name w:val="annotation reference"/>
    <w:basedOn w:val="Fontepargpadro"/>
    <w:uiPriority w:val="99"/>
    <w:unhideWhenUsed/>
    <w:rsid w:val="005D6A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6A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6A1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A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A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A1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7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1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6A1C"/>
  </w:style>
  <w:style w:type="character" w:styleId="Refdecomentrio">
    <w:name w:val="annotation reference"/>
    <w:basedOn w:val="Fontepargpadro"/>
    <w:uiPriority w:val="99"/>
    <w:unhideWhenUsed/>
    <w:rsid w:val="005D6A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6A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6A1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A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A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A1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7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ites.org/eng/app/appendices.ph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CAIE - Caio</dc:creator>
  <cp:lastModifiedBy>CAIE - Caio</cp:lastModifiedBy>
  <cp:revision>3</cp:revision>
  <dcterms:created xsi:type="dcterms:W3CDTF">2025-10-20T12:38:00Z</dcterms:created>
  <dcterms:modified xsi:type="dcterms:W3CDTF">2025-10-20T13:18:00Z</dcterms:modified>
</cp:coreProperties>
</file>